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60EEA" w14:textId="77777777" w:rsidR="004F5D85" w:rsidRDefault="004F5D85" w:rsidP="004F5D85">
      <w:pPr>
        <w:jc w:val="both"/>
        <w:rPr>
          <w:b/>
          <w:bCs/>
          <w:i/>
          <w:iCs/>
        </w:rPr>
      </w:pPr>
    </w:p>
    <w:p w14:paraId="0BA41D74" w14:textId="306CD50D" w:rsidR="002112C2" w:rsidRPr="004F5D85" w:rsidRDefault="002112C2" w:rsidP="004F5D85">
      <w:pPr>
        <w:pBdr>
          <w:bottom w:val="single" w:sz="12" w:space="1" w:color="auto"/>
        </w:pBdr>
        <w:jc w:val="both"/>
        <w:rPr>
          <w:b/>
          <w:bCs/>
          <w:i/>
          <w:iCs/>
        </w:rPr>
      </w:pPr>
      <w:r w:rsidRPr="004F5D85">
        <w:rPr>
          <w:b/>
          <w:bCs/>
          <w:i/>
          <w:iCs/>
        </w:rPr>
        <w:t>ASUNTO: PLANTILLA ALEGACIONES O RECURSO POR</w:t>
      </w:r>
      <w:r w:rsidR="004F5D85" w:rsidRPr="004F5D85">
        <w:rPr>
          <w:b/>
          <w:bCs/>
          <w:i/>
          <w:iCs/>
        </w:rPr>
        <w:t xml:space="preserve"> DENUNCIA O EXPEDIENTE POR SUPUESTA INFRACCIÓN AL NO SEÑALIZAR UN VEHÍCULO INMOVILIZADO INVOLUNTARIAMENTE EN EL ARCÉN, CON EL DISPOSITIVO V16</w:t>
      </w:r>
    </w:p>
    <w:p w14:paraId="24374DCD" w14:textId="69FC9313" w:rsidR="00DF4BEE" w:rsidRPr="00117A0B" w:rsidRDefault="00117A0B" w:rsidP="00505801">
      <w:pPr>
        <w:jc w:val="both"/>
        <w:rPr>
          <w:i/>
          <w:iCs/>
          <w:sz w:val="20"/>
          <w:szCs w:val="20"/>
        </w:rPr>
      </w:pPr>
      <w:r w:rsidRPr="00117A0B">
        <w:rPr>
          <w:i/>
          <w:iCs/>
          <w:sz w:val="20"/>
          <w:szCs w:val="20"/>
        </w:rPr>
        <w:t>A la autoridad competente sancionador.</w:t>
      </w:r>
    </w:p>
    <w:p w14:paraId="4D595061" w14:textId="2B043BCE" w:rsidR="00117A0B" w:rsidRPr="00117A0B" w:rsidRDefault="00117A0B" w:rsidP="00505801">
      <w:pPr>
        <w:jc w:val="both"/>
        <w:rPr>
          <w:i/>
          <w:iCs/>
          <w:sz w:val="20"/>
          <w:szCs w:val="20"/>
        </w:rPr>
      </w:pPr>
      <w:r w:rsidRPr="00117A0B">
        <w:rPr>
          <w:i/>
          <w:iCs/>
          <w:sz w:val="20"/>
          <w:szCs w:val="20"/>
        </w:rPr>
        <w:t>Ejemplos: Jefatura Provincial de Tráfico</w:t>
      </w:r>
      <w:r w:rsidR="00FF72E7">
        <w:rPr>
          <w:i/>
          <w:iCs/>
          <w:sz w:val="20"/>
          <w:szCs w:val="20"/>
        </w:rPr>
        <w:t>. Ayuntamiento de __</w:t>
      </w:r>
      <w:proofErr w:type="gramStart"/>
      <w:r w:rsidR="00FF72E7">
        <w:rPr>
          <w:i/>
          <w:iCs/>
          <w:sz w:val="20"/>
          <w:szCs w:val="20"/>
        </w:rPr>
        <w:t>_ .</w:t>
      </w:r>
      <w:proofErr w:type="gramEnd"/>
      <w:r w:rsidR="00FF72E7">
        <w:rPr>
          <w:i/>
          <w:iCs/>
          <w:sz w:val="20"/>
          <w:szCs w:val="20"/>
        </w:rPr>
        <w:t xml:space="preserve"> </w:t>
      </w:r>
      <w:proofErr w:type="spellStart"/>
      <w:r w:rsidR="00FF72E7">
        <w:rPr>
          <w:i/>
          <w:iCs/>
          <w:sz w:val="20"/>
          <w:szCs w:val="20"/>
        </w:rPr>
        <w:t>Servei</w:t>
      </w:r>
      <w:proofErr w:type="spellEnd"/>
      <w:r w:rsidR="00FF72E7">
        <w:rPr>
          <w:i/>
          <w:iCs/>
          <w:sz w:val="20"/>
          <w:szCs w:val="20"/>
        </w:rPr>
        <w:t xml:space="preserve"> Catalá de </w:t>
      </w:r>
      <w:proofErr w:type="spellStart"/>
      <w:r w:rsidR="00FF72E7">
        <w:rPr>
          <w:i/>
          <w:iCs/>
          <w:sz w:val="20"/>
          <w:szCs w:val="20"/>
        </w:rPr>
        <w:t>Transit</w:t>
      </w:r>
      <w:proofErr w:type="spellEnd"/>
      <w:r w:rsidR="00FF72E7">
        <w:rPr>
          <w:i/>
          <w:iCs/>
          <w:sz w:val="20"/>
          <w:szCs w:val="20"/>
        </w:rPr>
        <w:t xml:space="preserve">, </w:t>
      </w:r>
      <w:proofErr w:type="spellStart"/>
      <w:r w:rsidR="00FF72E7">
        <w:rPr>
          <w:i/>
          <w:iCs/>
          <w:sz w:val="20"/>
          <w:szCs w:val="20"/>
        </w:rPr>
        <w:t>etc</w:t>
      </w:r>
      <w:proofErr w:type="spellEnd"/>
    </w:p>
    <w:p w14:paraId="3A3C49E1" w14:textId="77777777" w:rsidR="00117A0B" w:rsidRDefault="00117A0B" w:rsidP="00505801">
      <w:pPr>
        <w:jc w:val="both"/>
      </w:pPr>
    </w:p>
    <w:p w14:paraId="12F129EE" w14:textId="196A4D1D" w:rsidR="00117A0B" w:rsidRPr="00117A0B" w:rsidRDefault="00117A0B" w:rsidP="00117A0B">
      <w:pPr>
        <w:jc w:val="center"/>
        <w:rPr>
          <w:b/>
          <w:bCs/>
          <w:sz w:val="28"/>
          <w:szCs w:val="28"/>
        </w:rPr>
      </w:pPr>
      <w:r w:rsidRPr="00117A0B">
        <w:rPr>
          <w:b/>
          <w:bCs/>
          <w:sz w:val="28"/>
          <w:szCs w:val="28"/>
        </w:rPr>
        <w:t>ESCRITO DE ALEGACIONES</w:t>
      </w:r>
    </w:p>
    <w:p w14:paraId="7CF82013" w14:textId="77777777" w:rsidR="00117A0B" w:rsidRDefault="00117A0B" w:rsidP="00505801">
      <w:pPr>
        <w:jc w:val="both"/>
      </w:pPr>
    </w:p>
    <w:p w14:paraId="1A724CB2" w14:textId="4DABB608" w:rsidR="00DF4BEE" w:rsidRDefault="00722C47" w:rsidP="00505801">
      <w:pPr>
        <w:jc w:val="both"/>
      </w:pPr>
      <w:r>
        <w:t xml:space="preserve">Don/ Doña ___________ provisto de DNI/NIE ______________ con domicilio a efecto notificaciones en _________ </w:t>
      </w:r>
      <w:proofErr w:type="spellStart"/>
      <w:r>
        <w:t>de</w:t>
      </w:r>
      <w:proofErr w:type="spellEnd"/>
      <w:r>
        <w:t xml:space="preserve"> _________</w:t>
      </w:r>
      <w:r w:rsidR="00117A0B">
        <w:t xml:space="preserve"> (________)</w:t>
      </w:r>
    </w:p>
    <w:p w14:paraId="2D2E8395" w14:textId="2F8F0C91" w:rsidR="00DF4BEE" w:rsidRDefault="00722C47" w:rsidP="00505801">
      <w:pPr>
        <w:jc w:val="both"/>
      </w:pPr>
      <w:r>
        <w:t>En base al artículo 93.1 y 95 del RDL 6/2015</w:t>
      </w:r>
      <w:r w:rsidR="00117A0B">
        <w:t xml:space="preserve"> y en aplicación del RD 320/94, también</w:t>
      </w:r>
      <w:r>
        <w:t xml:space="preserve"> en el plazo de 20 días desde su notificación realizo las siguientes ALEGACIONES</w:t>
      </w:r>
    </w:p>
    <w:p w14:paraId="7C41D694" w14:textId="2DF50E33" w:rsidR="00DF4BEE" w:rsidRPr="008C6A25" w:rsidRDefault="00DF4BEE" w:rsidP="00505801">
      <w:pPr>
        <w:jc w:val="both"/>
        <w:rPr>
          <w:b/>
          <w:bCs/>
        </w:rPr>
      </w:pPr>
      <w:r w:rsidRPr="008C6A25">
        <w:rPr>
          <w:b/>
          <w:bCs/>
        </w:rPr>
        <w:t>PRIMERO</w:t>
      </w:r>
    </w:p>
    <w:p w14:paraId="1340325A" w14:textId="7EDDA85D" w:rsidR="00DF4BEE" w:rsidRDefault="00DF4BEE" w:rsidP="00505801">
      <w:pPr>
        <w:jc w:val="both"/>
      </w:pPr>
      <w:r>
        <w:t>Con fecha _________ fui denunciado (me ha sido notificada)</w:t>
      </w:r>
      <w:r w:rsidR="008C6A25">
        <w:t>, en expediente ____________________</w:t>
      </w:r>
      <w:proofErr w:type="gramStart"/>
      <w:r w:rsidR="008C6A25">
        <w:t>_</w:t>
      </w:r>
      <w:r>
        <w:t xml:space="preserve"> </w:t>
      </w:r>
      <w:r w:rsidR="00597ED9">
        <w:t xml:space="preserve"> a</w:t>
      </w:r>
      <w:proofErr w:type="gramEnd"/>
      <w:r w:rsidR="00597ED9">
        <w:t xml:space="preserve"> las ___ horas del día _____ POR </w:t>
      </w:r>
      <w:r>
        <w:t>la comisión de una presunta infracción al artículo 130 del Reglamento General de Circulación por no haber señalizado el vehículo inmovilizado en el arcén por _______ (Accidente/ avería).</w:t>
      </w:r>
    </w:p>
    <w:p w14:paraId="495D3DF5" w14:textId="4A61049A" w:rsidR="00DF4BEE" w:rsidRDefault="00DF4BEE" w:rsidP="00505801">
      <w:pPr>
        <w:jc w:val="both"/>
      </w:pPr>
      <w:r>
        <w:t>No existe por ello infracción alguna por no señalizarlo pues el vehículo no se encontraba inmovilizado en la calzada.</w:t>
      </w:r>
      <w:r w:rsidR="00597ED9">
        <w:t xml:space="preserve"> Se encontraba en el arcén.</w:t>
      </w:r>
    </w:p>
    <w:p w14:paraId="2671AE19" w14:textId="35B1ACE0" w:rsidR="00DF4BEE" w:rsidRPr="008C6A25" w:rsidRDefault="00DF4BEE" w:rsidP="00505801">
      <w:pPr>
        <w:jc w:val="both"/>
        <w:rPr>
          <w:b/>
          <w:bCs/>
        </w:rPr>
      </w:pPr>
      <w:r w:rsidRPr="008C6A25">
        <w:rPr>
          <w:b/>
          <w:bCs/>
        </w:rPr>
        <w:t>SEGUNDO</w:t>
      </w:r>
    </w:p>
    <w:p w14:paraId="7B41E055" w14:textId="5B1EE71A" w:rsidR="00597ED9" w:rsidRDefault="00597ED9" w:rsidP="00505801">
      <w:pPr>
        <w:jc w:val="both"/>
      </w:pPr>
      <w:r>
        <w:t>No existe infracción alguna.</w:t>
      </w:r>
    </w:p>
    <w:p w14:paraId="49458316" w14:textId="47469EAB" w:rsidR="00500C37" w:rsidRDefault="00500C37" w:rsidP="00505801">
      <w:pPr>
        <w:jc w:val="both"/>
      </w:pPr>
      <w:r>
        <w:t xml:space="preserve">El artículo 51 del RDL 6/2015 (Ley de Seguridad Vial) establece que si </w:t>
      </w:r>
      <w:r w:rsidRPr="00500C37">
        <w:t xml:space="preserve">por causa de accidente o avería el vehículo o su carga obstaculizan la </w:t>
      </w:r>
      <w:r w:rsidR="00DC5DFE">
        <w:t>“</w:t>
      </w:r>
      <w:r w:rsidRPr="00500C37">
        <w:t>calzada</w:t>
      </w:r>
      <w:r w:rsidR="00DC5DFE">
        <w:t>”</w:t>
      </w:r>
      <w:r w:rsidRPr="00500C37">
        <w:t>, el conductor, tras señalizar convenientemente el vehículo o el obstáculo creado, adoptará las medidas necesarias para que sea retirado en el menor tiempo posible debiendo sacarlo de la calzada y situarlo cumpliendo las normas de estacionamiento siempre que sea factible</w:t>
      </w:r>
      <w:r>
        <w:t>.</w:t>
      </w:r>
    </w:p>
    <w:p w14:paraId="5934EEEE" w14:textId="0678BA45" w:rsidR="00500C37" w:rsidRDefault="00500C37" w:rsidP="00505801">
      <w:pPr>
        <w:jc w:val="both"/>
      </w:pPr>
      <w:r>
        <w:t>Exige la obligación de señalizar el vehículo inmovilizado</w:t>
      </w:r>
      <w:r w:rsidR="00DC5DFE">
        <w:t xml:space="preserve"> cuando el mismo se queda en la calzada.</w:t>
      </w:r>
    </w:p>
    <w:p w14:paraId="5AB2FB12" w14:textId="376C6439" w:rsidR="00597ED9" w:rsidRDefault="00DC5DFE" w:rsidP="00505801">
      <w:pPr>
        <w:jc w:val="both"/>
      </w:pPr>
      <w:r>
        <w:lastRenderedPageBreak/>
        <w:t>La definición de calzada</w:t>
      </w:r>
      <w:r w:rsidR="00597ED9">
        <w:t xml:space="preserve"> viene contemplada en el Anexo I (Def 55) del referido Real Decreto Legislativo como “</w:t>
      </w:r>
      <w:r w:rsidR="00597ED9" w:rsidRPr="00597ED9">
        <w:t>Parte de la carretera dedicada a la circulación de vehículos. Se compone de un cierto número de carriles</w:t>
      </w:r>
      <w:r w:rsidR="00597ED9">
        <w:t>”.</w:t>
      </w:r>
    </w:p>
    <w:p w14:paraId="6CF940C5" w14:textId="55AE2AAF" w:rsidR="00597ED9" w:rsidRDefault="00597ED9" w:rsidP="00505801">
      <w:pPr>
        <w:jc w:val="both"/>
      </w:pPr>
      <w:r>
        <w:t>La definición de arcén viene contemplada en el Anexo I (Def 61) del referido Real Decreto Legislativo como “</w:t>
      </w:r>
      <w:r w:rsidRPr="00597ED9">
        <w:t>Franja longitudinal afirmada contigua a la calzada, no destinada al uso de vehículos automóviles, más que en circunstancias excepcionales</w:t>
      </w:r>
      <w:r>
        <w:t>”.</w:t>
      </w:r>
    </w:p>
    <w:p w14:paraId="6B1B8319" w14:textId="67E2B156" w:rsidR="00D75FDF" w:rsidRDefault="00D75FDF" w:rsidP="00505801">
      <w:pPr>
        <w:jc w:val="both"/>
      </w:pPr>
      <w:r w:rsidRPr="00D75FDF">
        <w:t>Vía</w:t>
      </w:r>
      <w:r>
        <w:t xml:space="preserve"> no es un concepto reflejado en la ley de seguridad vial, si lo es plataforma, calzada, arcén, carril y otros (Consulte el Anexo I del RDL 6/2015).</w:t>
      </w:r>
    </w:p>
    <w:p w14:paraId="4D36961B" w14:textId="6174F1BC" w:rsidR="00D75FDF" w:rsidRDefault="00D75FDF" w:rsidP="00505801">
      <w:pPr>
        <w:jc w:val="both"/>
      </w:pPr>
      <w:r w:rsidRPr="00D75FDF">
        <w:t>El artículo 130</w:t>
      </w:r>
      <w:r>
        <w:t>. 1 del Reglamento General de Circulación</w:t>
      </w:r>
      <w:r w:rsidR="00597ED9">
        <w:t>, ratificando la Ley de Seguridad Vial,</w:t>
      </w:r>
      <w:r>
        <w:t xml:space="preserve"> condiciona la obligación de señalizar convenientemente el vehículo inmovilizado por accidente o avería cuando obstaculice la calzada.</w:t>
      </w:r>
    </w:p>
    <w:p w14:paraId="05546692" w14:textId="79207B33" w:rsidR="00B779CF" w:rsidRDefault="00B779CF" w:rsidP="00505801">
      <w:pPr>
        <w:jc w:val="both"/>
      </w:pPr>
      <w:r>
        <w:t>Aunque el apartado 4 de artículo 130 referenciado habla de vía</w:t>
      </w:r>
      <w:r w:rsidR="00DF4BEE">
        <w:t xml:space="preserve"> (calzada según la RAE)</w:t>
      </w:r>
      <w:r>
        <w:t xml:space="preserve"> la propia ley de seguridad vial no reconoce el concepto, aunque sí reconoce “plataforma” como así lo menciona el punto anterior tercero y posterior quinto</w:t>
      </w:r>
      <w:r w:rsidR="00597ED9">
        <w:t xml:space="preserve"> del reglamento y la propia ley en el referenciado artículo 51</w:t>
      </w:r>
      <w:r>
        <w:t>. Por ello, el legislador se ha referido a vía</w:t>
      </w:r>
      <w:r w:rsidR="00DF4BEE">
        <w:t xml:space="preserve"> (calzada según la RAE)</w:t>
      </w:r>
      <w:r>
        <w:t xml:space="preserve"> condicionado de forma específica la circunstancia a una de sus partes que es la “calzada”. </w:t>
      </w:r>
    </w:p>
    <w:p w14:paraId="0634FB3A" w14:textId="6841C850" w:rsidR="00DF4BEE" w:rsidRDefault="00DF4BEE" w:rsidP="00505801">
      <w:pPr>
        <w:jc w:val="both"/>
      </w:pPr>
      <w:r>
        <w:t>Como texto de apoyo a la comprensión ciudadana la RAE, en su afección numero 4 determina que “vía” es una calzada construida para la circulación rodada. Vemos que de nuevo aparece el concepto si definido en la Ley de Seguridad Vial de “Calzada”.</w:t>
      </w:r>
    </w:p>
    <w:p w14:paraId="663A6587" w14:textId="5D5E3286" w:rsidR="00D75FDF" w:rsidRDefault="00D75FDF" w:rsidP="00505801">
      <w:pPr>
        <w:jc w:val="both"/>
      </w:pPr>
      <w:r>
        <w:t>Esta realidad jurídica</w:t>
      </w:r>
      <w:r w:rsidR="00DF4BEE">
        <w:t>, para su debida interpretación textual,</w:t>
      </w:r>
      <w:r>
        <w:t xml:space="preserve"> viene reforzada y condicionada a su vez por el propio Reglamento General de Vehículos en su Anexo XI</w:t>
      </w:r>
      <w:r w:rsidR="00597ED9">
        <w:t>,</w:t>
      </w:r>
      <w:r>
        <w:t xml:space="preserve"> en lo relativo a la V-16</w:t>
      </w:r>
      <w:r w:rsidR="00597ED9">
        <w:t>,</w:t>
      </w:r>
      <w:r w:rsidR="00DF4BEE">
        <w:t xml:space="preserve"> en su puto 1 que advierte que el dispositivo de </w:t>
      </w:r>
      <w:proofErr w:type="spellStart"/>
      <w:r w:rsidR="00DF4BEE">
        <w:t>preseñalización</w:t>
      </w:r>
      <w:proofErr w:type="spellEnd"/>
      <w:r w:rsidR="00DF4BEE">
        <w:t xml:space="preserve"> de peligro V-16 “</w:t>
      </w:r>
      <w:r w:rsidR="00DF4BEE" w:rsidRPr="00DF4BEE">
        <w:t>Indica que el vehículo ha quedado inmovilizado en la calzada o que su carga se encuentra caída sobre la misma</w:t>
      </w:r>
      <w:r w:rsidR="00DF4BEE">
        <w:t>”.</w:t>
      </w:r>
    </w:p>
    <w:p w14:paraId="00FD994A" w14:textId="3DB5F60B" w:rsidR="00DF4BEE" w:rsidRPr="008C6A25" w:rsidRDefault="008C6A25" w:rsidP="00505801">
      <w:pPr>
        <w:jc w:val="both"/>
        <w:rPr>
          <w:b/>
          <w:bCs/>
        </w:rPr>
      </w:pPr>
      <w:r w:rsidRPr="008C6A25">
        <w:rPr>
          <w:b/>
          <w:bCs/>
        </w:rPr>
        <w:t>TERCERO</w:t>
      </w:r>
    </w:p>
    <w:p w14:paraId="1535AD50" w14:textId="77777777" w:rsidR="00597ED9" w:rsidRDefault="00597ED9" w:rsidP="00505801">
      <w:pPr>
        <w:jc w:val="both"/>
      </w:pPr>
      <w:r>
        <w:t>El agente ha realizado una interpretación extensiva de la norma, sin objetividad o por desconocimiento del dictado de la norma.</w:t>
      </w:r>
    </w:p>
    <w:p w14:paraId="6BF21EF6" w14:textId="2127F6D9" w:rsidR="008C6A25" w:rsidRDefault="008C6A25" w:rsidP="00505801">
      <w:pPr>
        <w:jc w:val="both"/>
      </w:pPr>
      <w:r>
        <w:t>El artículo 87 “Denuncias” de la Ley de seguridad vial (RDL 6/2015) determina que el agente de la autoridad, si está encargado de la vigilancia del tráfico y en el ejercicio de sus funciones, tiene el deber de denunciar las infracciones que observen. Queda demostrado que no existía infracción alguna.</w:t>
      </w:r>
    </w:p>
    <w:p w14:paraId="797D473D" w14:textId="2F04040F" w:rsidR="008C6A25" w:rsidRDefault="008C6A25" w:rsidP="00505801">
      <w:pPr>
        <w:jc w:val="both"/>
      </w:pPr>
      <w:r>
        <w:lastRenderedPageBreak/>
        <w:t>El Real Decreto Legislativo 5/2015 “Ley del estatuto básico del empleado público” establece en su artículo 52 “Códigos de conducta” la obligación de respetar el ordenamiento jurídico y actuar con objetividad y responsabilidad. Insisto que no existe infracción alguna.</w:t>
      </w:r>
    </w:p>
    <w:p w14:paraId="089C161F" w14:textId="234AC22F" w:rsidR="008C6A25" w:rsidRPr="00722C47" w:rsidRDefault="008C6A25" w:rsidP="00722C47">
      <w:pPr>
        <w:ind w:left="1416"/>
        <w:jc w:val="both"/>
        <w:rPr>
          <w:i/>
          <w:iCs/>
        </w:rPr>
      </w:pPr>
      <w:r w:rsidRPr="00722C47">
        <w:rPr>
          <w:i/>
          <w:iCs/>
        </w:rPr>
        <w:t>En el caso de ser Guardia Civil se puede añadir:</w:t>
      </w:r>
    </w:p>
    <w:p w14:paraId="0545E133" w14:textId="7B2067A5" w:rsidR="008C6A25" w:rsidRPr="00722C47" w:rsidRDefault="00722C47" w:rsidP="00722C47">
      <w:pPr>
        <w:ind w:left="1416"/>
        <w:jc w:val="both"/>
        <w:rPr>
          <w:i/>
          <w:iCs/>
        </w:rPr>
      </w:pPr>
      <w:r w:rsidRPr="00722C47">
        <w:rPr>
          <w:i/>
          <w:iCs/>
        </w:rPr>
        <w:t>La Ley 29/2014 de “Régimen de personal de la Guardia Civil” en su artículo 7 punto 14 advierte que el Guardia Civil se preparará para alcanzar el mas alto nivel de competencia profesional.</w:t>
      </w:r>
    </w:p>
    <w:p w14:paraId="022F7628" w14:textId="2B7FE561" w:rsidR="00722C47" w:rsidRPr="00722C47" w:rsidRDefault="00722C47" w:rsidP="00722C47">
      <w:pPr>
        <w:ind w:left="1416"/>
        <w:jc w:val="both"/>
        <w:rPr>
          <w:i/>
          <w:iCs/>
        </w:rPr>
      </w:pPr>
      <w:r w:rsidRPr="00722C47">
        <w:rPr>
          <w:i/>
          <w:iCs/>
        </w:rPr>
        <w:t>En el caso de ser Guardia Civil de Tráfico se puede añadir:</w:t>
      </w:r>
    </w:p>
    <w:p w14:paraId="6F176424" w14:textId="116BCC1F" w:rsidR="00722C47" w:rsidRPr="00722C47" w:rsidRDefault="00722C47" w:rsidP="00722C47">
      <w:pPr>
        <w:ind w:left="1416"/>
        <w:jc w:val="both"/>
        <w:rPr>
          <w:i/>
          <w:iCs/>
        </w:rPr>
      </w:pPr>
      <w:r w:rsidRPr="00722C47">
        <w:rPr>
          <w:i/>
          <w:iCs/>
        </w:rPr>
        <w:t>La Orden General 4 de 4 de marzo de 2014 en su artículo 8.1 letra “B” establece la obligación de mantener el conocimiento y correcta aplicación de las leyes.</w:t>
      </w:r>
    </w:p>
    <w:p w14:paraId="7B0680F9" w14:textId="506D50E9" w:rsidR="00117A0B" w:rsidRPr="00117A0B" w:rsidRDefault="00117A0B" w:rsidP="00505801">
      <w:pPr>
        <w:jc w:val="both"/>
        <w:rPr>
          <w:b/>
          <w:bCs/>
        </w:rPr>
      </w:pPr>
      <w:r w:rsidRPr="00117A0B">
        <w:rPr>
          <w:b/>
          <w:bCs/>
        </w:rPr>
        <w:t>POR TODO LO ANTERIOR SOLICITO</w:t>
      </w:r>
    </w:p>
    <w:p w14:paraId="794419A9" w14:textId="51F01CE3" w:rsidR="00722C47" w:rsidRDefault="00722C47" w:rsidP="00505801">
      <w:pPr>
        <w:jc w:val="both"/>
      </w:pPr>
      <w:r>
        <w:t>En base al artículo 86 y 95 del RDL 6/2015 se solita que deje sin efecto el expediente</w:t>
      </w:r>
      <w:r w:rsidR="00117A0B">
        <w:t xml:space="preserve"> </w:t>
      </w:r>
      <w:r w:rsidR="00117A0B" w:rsidRPr="00117A0B">
        <w:rPr>
          <w:b/>
          <w:bCs/>
          <w:u w:val="single"/>
        </w:rPr>
        <w:t>denuncia</w:t>
      </w:r>
      <w:r>
        <w:t xml:space="preserve"> cuestionado</w:t>
      </w:r>
      <w:r w:rsidR="00500C37">
        <w:t>, dictando</w:t>
      </w:r>
      <w:r w:rsidR="00117A0B">
        <w:t xml:space="preserve"> el archivo o</w:t>
      </w:r>
      <w:r w:rsidR="00500C37">
        <w:t xml:space="preserve"> resolución sancionadora sin responsabilidad</w:t>
      </w:r>
      <w:r>
        <w:t xml:space="preserve"> por NO EXISTIR INFRACCI</w:t>
      </w:r>
      <w:r w:rsidR="00500C37">
        <w:t>Ó</w:t>
      </w:r>
      <w:r>
        <w:t>N alguna</w:t>
      </w:r>
      <w:r w:rsidR="00500C37">
        <w:t>,</w:t>
      </w:r>
      <w:r>
        <w:t xml:space="preserve"> al encontrarse el vehículo inmovilizado en el arcén</w:t>
      </w:r>
      <w:r w:rsidR="00500C37">
        <w:t>, dando fin a la vía administrativa</w:t>
      </w:r>
      <w:r>
        <w:t>.</w:t>
      </w:r>
    </w:p>
    <w:p w14:paraId="4047BDEB" w14:textId="77777777" w:rsidR="00D75FDF" w:rsidRDefault="00D75FDF" w:rsidP="00505801">
      <w:pPr>
        <w:jc w:val="both"/>
      </w:pPr>
    </w:p>
    <w:p w14:paraId="7D1B6225" w14:textId="0845023C" w:rsidR="004F5D85" w:rsidRDefault="004F5D85" w:rsidP="004F5D85">
      <w:pPr>
        <w:jc w:val="center"/>
      </w:pPr>
      <w:r>
        <w:t xml:space="preserve">En ______ </w:t>
      </w:r>
      <w:proofErr w:type="spellStart"/>
      <w:r>
        <w:t>a</w:t>
      </w:r>
      <w:proofErr w:type="spellEnd"/>
      <w:r>
        <w:t xml:space="preserve"> _____ </w:t>
      </w:r>
      <w:proofErr w:type="spellStart"/>
      <w:r>
        <w:t>de</w:t>
      </w:r>
      <w:proofErr w:type="spellEnd"/>
      <w:r>
        <w:t xml:space="preserve"> _______________ </w:t>
      </w:r>
      <w:proofErr w:type="spellStart"/>
      <w:r>
        <w:t>de</w:t>
      </w:r>
      <w:proofErr w:type="spellEnd"/>
      <w:r>
        <w:t xml:space="preserve"> 2026</w:t>
      </w:r>
    </w:p>
    <w:p w14:paraId="1B00B5EC" w14:textId="77777777" w:rsidR="004F5D85" w:rsidRDefault="004F5D85" w:rsidP="004F5D85">
      <w:pPr>
        <w:jc w:val="center"/>
      </w:pPr>
    </w:p>
    <w:p w14:paraId="61AD99E2" w14:textId="77777777" w:rsidR="004F5D85" w:rsidRPr="00D75FDF" w:rsidRDefault="004F5D85" w:rsidP="004F5D85">
      <w:pPr>
        <w:jc w:val="center"/>
      </w:pPr>
    </w:p>
    <w:p w14:paraId="48A0C934" w14:textId="6FC83886" w:rsidR="00F72DDC" w:rsidRDefault="004F5D85" w:rsidP="004F5D85">
      <w:pPr>
        <w:jc w:val="center"/>
        <w:rPr>
          <w:b/>
          <w:bCs/>
        </w:rPr>
      </w:pPr>
      <w:r>
        <w:rPr>
          <w:b/>
          <w:bCs/>
        </w:rPr>
        <w:t>Fdo. ____________________________</w:t>
      </w:r>
    </w:p>
    <w:p w14:paraId="314A77A3" w14:textId="77777777" w:rsidR="00F72DDC" w:rsidRDefault="00F72DDC" w:rsidP="004F5D85">
      <w:pPr>
        <w:jc w:val="center"/>
        <w:rPr>
          <w:b/>
          <w:bCs/>
        </w:rPr>
      </w:pPr>
    </w:p>
    <w:p w14:paraId="33A471A7" w14:textId="77777777" w:rsidR="00D75FDF" w:rsidRDefault="00D75FDF" w:rsidP="00505801">
      <w:pPr>
        <w:jc w:val="both"/>
        <w:rPr>
          <w:b/>
          <w:bCs/>
        </w:rPr>
      </w:pPr>
    </w:p>
    <w:p w14:paraId="35705578" w14:textId="77777777" w:rsidR="00117A0B" w:rsidRDefault="00117A0B" w:rsidP="00505801">
      <w:pPr>
        <w:jc w:val="both"/>
        <w:rPr>
          <w:b/>
          <w:bCs/>
        </w:rPr>
      </w:pPr>
    </w:p>
    <w:p w14:paraId="586C8BCA" w14:textId="77777777" w:rsidR="00117A0B" w:rsidRDefault="00117A0B" w:rsidP="00505801">
      <w:pPr>
        <w:jc w:val="both"/>
        <w:rPr>
          <w:b/>
          <w:bCs/>
        </w:rPr>
      </w:pPr>
    </w:p>
    <w:p w14:paraId="243A8D81" w14:textId="77777777" w:rsidR="00117A0B" w:rsidRDefault="00117A0B" w:rsidP="00505801">
      <w:pPr>
        <w:jc w:val="both"/>
        <w:rPr>
          <w:b/>
          <w:bCs/>
        </w:rPr>
      </w:pPr>
    </w:p>
    <w:p w14:paraId="174BE947" w14:textId="77777777" w:rsidR="00117A0B" w:rsidRDefault="00117A0B" w:rsidP="00505801">
      <w:pPr>
        <w:jc w:val="both"/>
        <w:rPr>
          <w:b/>
          <w:bCs/>
        </w:rPr>
      </w:pPr>
    </w:p>
    <w:p w14:paraId="19289190" w14:textId="77777777" w:rsidR="00117A0B" w:rsidRDefault="00117A0B" w:rsidP="00505801">
      <w:pPr>
        <w:jc w:val="both"/>
        <w:rPr>
          <w:b/>
          <w:bCs/>
        </w:rPr>
      </w:pPr>
    </w:p>
    <w:p w14:paraId="59B99594" w14:textId="77777777" w:rsidR="00D75FDF" w:rsidRDefault="00D75FDF" w:rsidP="00505801">
      <w:pPr>
        <w:jc w:val="both"/>
        <w:rPr>
          <w:b/>
          <w:bCs/>
        </w:rPr>
      </w:pPr>
    </w:p>
    <w:p w14:paraId="6673CAA8" w14:textId="77777777" w:rsidR="00505801" w:rsidRDefault="00505801" w:rsidP="00505801">
      <w:pPr>
        <w:jc w:val="both"/>
      </w:pPr>
    </w:p>
    <w:sectPr w:rsidR="00505801" w:rsidSect="004F5D85">
      <w:headerReference w:type="default" r:id="rId7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531F6" w14:textId="77777777" w:rsidR="002F3FE8" w:rsidRDefault="002F3FE8" w:rsidP="004F5D85">
      <w:pPr>
        <w:spacing w:after="0" w:line="240" w:lineRule="auto"/>
      </w:pPr>
      <w:r>
        <w:separator/>
      </w:r>
    </w:p>
  </w:endnote>
  <w:endnote w:type="continuationSeparator" w:id="0">
    <w:p w14:paraId="608C4E6B" w14:textId="77777777" w:rsidR="002F3FE8" w:rsidRDefault="002F3FE8" w:rsidP="004F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8E6BD" w14:textId="77777777" w:rsidR="002F3FE8" w:rsidRDefault="002F3FE8" w:rsidP="004F5D85">
      <w:pPr>
        <w:spacing w:after="0" w:line="240" w:lineRule="auto"/>
      </w:pPr>
      <w:r>
        <w:separator/>
      </w:r>
    </w:p>
  </w:footnote>
  <w:footnote w:type="continuationSeparator" w:id="0">
    <w:p w14:paraId="45379C93" w14:textId="77777777" w:rsidR="002F3FE8" w:rsidRDefault="002F3FE8" w:rsidP="004F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210AC" w14:textId="597D22E9" w:rsidR="004F5D85" w:rsidRDefault="004F5D85" w:rsidP="004F5D85">
    <w:pPr>
      <w:pStyle w:val="Encabezado"/>
      <w:jc w:val="both"/>
      <w:rPr>
        <w:sz w:val="20"/>
        <w:szCs w:val="20"/>
      </w:rPr>
    </w:pPr>
    <w:r w:rsidRPr="004F5D85">
      <w:rPr>
        <w:sz w:val="20"/>
        <w:szCs w:val="20"/>
      </w:rPr>
      <w:t xml:space="preserve">Plantilla realizada por el departamento de seguridad vial de Unión Internacional para la Defensa de los Motociclistas </w:t>
    </w:r>
    <w:hyperlink r:id="rId1" w:history="1">
      <w:r w:rsidRPr="00B97D82">
        <w:rPr>
          <w:rStyle w:val="Hipervnculo"/>
          <w:sz w:val="20"/>
          <w:szCs w:val="20"/>
        </w:rPr>
        <w:t>seguridadvial@seguridadmotociclistas.org</w:t>
      </w:r>
    </w:hyperlink>
  </w:p>
  <w:p w14:paraId="05212CAC" w14:textId="77777777" w:rsidR="004F5D85" w:rsidRPr="004F5D85" w:rsidRDefault="004F5D85" w:rsidP="004F5D85">
    <w:pPr>
      <w:pStyle w:val="Encabezado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07A02"/>
    <w:multiLevelType w:val="hybridMultilevel"/>
    <w:tmpl w:val="F5A69B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38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51"/>
    <w:rsid w:val="00117A0B"/>
    <w:rsid w:val="00165E7E"/>
    <w:rsid w:val="002112C2"/>
    <w:rsid w:val="002F3FE8"/>
    <w:rsid w:val="003C7215"/>
    <w:rsid w:val="00464551"/>
    <w:rsid w:val="004D7B17"/>
    <w:rsid w:val="004F5D85"/>
    <w:rsid w:val="00500C37"/>
    <w:rsid w:val="00505801"/>
    <w:rsid w:val="00597ED9"/>
    <w:rsid w:val="006D6135"/>
    <w:rsid w:val="00722C47"/>
    <w:rsid w:val="008C6A25"/>
    <w:rsid w:val="009D044F"/>
    <w:rsid w:val="009E1693"/>
    <w:rsid w:val="00A941B7"/>
    <w:rsid w:val="00B236E4"/>
    <w:rsid w:val="00B779CF"/>
    <w:rsid w:val="00D75FDF"/>
    <w:rsid w:val="00DC15EB"/>
    <w:rsid w:val="00DC5DFE"/>
    <w:rsid w:val="00DF4BEE"/>
    <w:rsid w:val="00F72DDC"/>
    <w:rsid w:val="00FA3B5E"/>
    <w:rsid w:val="00FA3F82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4010E"/>
  <w15:chartTrackingRefBased/>
  <w15:docId w15:val="{0AD1C39B-CD7D-4679-A6F7-26193CDE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45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4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45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45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45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45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45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45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45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64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4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4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45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455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45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45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45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45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4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4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45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4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4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45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45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455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4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455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455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F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5D85"/>
  </w:style>
  <w:style w:type="paragraph" w:styleId="Piedepgina">
    <w:name w:val="footer"/>
    <w:basedOn w:val="Normal"/>
    <w:link w:val="PiedepginaCar"/>
    <w:uiPriority w:val="99"/>
    <w:unhideWhenUsed/>
    <w:rsid w:val="004F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5D85"/>
  </w:style>
  <w:style w:type="character" w:styleId="Hipervnculo">
    <w:name w:val="Hyperlink"/>
    <w:basedOn w:val="Fuentedeprrafopredeter"/>
    <w:uiPriority w:val="99"/>
    <w:unhideWhenUsed/>
    <w:rsid w:val="004F5D8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5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guridadvial@seguridadmotociclistas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833</Words>
  <Characters>4340</Characters>
  <Application>Microsoft Office Word</Application>
  <DocSecurity>0</DocSecurity>
  <Lines>95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TORIBIO RAMOS</dc:creator>
  <cp:keywords/>
  <dc:description/>
  <cp:lastModifiedBy>JUAN CARLOS TORIBIO RAMOS</cp:lastModifiedBy>
  <cp:revision>11</cp:revision>
  <dcterms:created xsi:type="dcterms:W3CDTF">2025-12-10T14:50:00Z</dcterms:created>
  <dcterms:modified xsi:type="dcterms:W3CDTF">2025-12-12T15:40:00Z</dcterms:modified>
</cp:coreProperties>
</file>